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25"/>
      </w:tblGrid>
      <w:tr>
        <w:tc>
          <w:tcPr>
            <w:tcW w:type="dxa" w:w="10325"/>
            <w:shd w:fill="0F172A"/>
            <w:tcMar>
              <w:top w:w="80" w:type="dxa"/>
              <w:start w:w="200" w:type="dxa"/>
              <w:bottom w:w="80" w:type="dxa"/>
              <w:end w:w="20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42"/>
              </w:rPr>
              <w:t>Tony Zaarour</w:t>
            </w:r>
          </w:p>
        </w:tc>
      </w:tr>
      <w:tr>
        <w:tc>
          <w:tcPr>
            <w:tcW w:type="dxa" w:w="10325"/>
            <w:shd w:fill="0F172A"/>
            <w:tcMar>
              <w:top w:w="80" w:type="dxa"/>
              <w:start w:w="200" w:type="dxa"/>
              <w:bottom w:w="80" w:type="dxa"/>
              <w:end w:w="20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FFFFFF"/>
                <w:sz w:val="21"/>
              </w:rPr>
              <w:t>Sydney, Australia | Open to contract and consulting engagements</w:t>
            </w:r>
          </w:p>
        </w:tc>
      </w:tr>
      <w:tr>
        <w:tc>
          <w:tcPr>
            <w:tcW w:type="dxa" w:w="10325"/>
            <w:shd w:fill="0F172A"/>
            <w:tcMar>
              <w:top w:w="80" w:type="dxa"/>
              <w:start w:w="200" w:type="dxa"/>
              <w:bottom w:w="80" w:type="dxa"/>
              <w:end w:w="20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DCE4EE"/>
                <w:sz w:val="18"/>
              </w:rPr>
              <w:t>0469890978 | Tonyzaarour11@gmail.com | https://www.linkedin.com/in/tonyzaarour/</w:t>
            </w:r>
          </w:p>
        </w:tc>
      </w:tr>
    </w:tbl>
    <w:p/>
    <w:p>
      <w:pPr>
        <w:spacing w:before="120" w:after="60"/>
        <w:pBdr>
          <w:bottom w:val="single" w:sz="6" w:space="1" w:color="E2E8F0"/>
        </w:pBdr>
      </w:pPr>
      <w:r>
        <w:rPr>
          <w:rFonts w:ascii="Aptos" w:hAnsi="Aptos"/>
          <w:b/>
          <w:color w:val="A37A2C"/>
          <w:sz w:val="18"/>
        </w:rPr>
        <w:t>PROFESSIONAL SUMMARY</w:t>
      </w:r>
    </w:p>
    <w:p>
      <w:pPr>
        <w:spacing w:after="120" w:line="276" w:lineRule="auto"/>
      </w:pPr>
      <w:r>
        <w:rPr>
          <w:rFonts w:ascii="Aptos" w:hAnsi="Aptos"/>
          <w:b w:val="0"/>
          <w:color w:val="334155"/>
          <w:sz w:val="20"/>
        </w:rPr>
        <w:t>Cloud Platform Architect / Senior Platform Consultant with hands-on experience improving AWS platforms in regulated and enterprise environments. I usually get pulled into estates that have delivery friction, weak governance, messy operating boundaries, cost leakage, or workloads that have outgrown their original design.</w:t>
      </w:r>
    </w:p>
    <w:p>
      <w:pPr>
        <w:spacing w:before="120" w:after="60"/>
        <w:pBdr>
          <w:bottom w:val="single" w:sz="6" w:space="1" w:color="E2E8F0"/>
        </w:pBdr>
      </w:pPr>
      <w:r>
        <w:rPr>
          <w:rFonts w:ascii="Aptos" w:hAnsi="Aptos"/>
          <w:b/>
          <w:color w:val="A37A2C"/>
          <w:sz w:val="18"/>
        </w:rPr>
        <w:t>SELECTED IMPACT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Improved governance and compliance execution through guardrails, reporting, and control redesign.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Delivered material annual AWS savings through commitment optimisation and platform cost control.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Re-architected resource-heavy workloads into event-driven ECS standalone tasks to improve scalability, isolation, and maintainability.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Reduced website dropouts for Australian Museum from roughly 20 per day to zero through targeted performance and architecture changes.</w:t>
      </w:r>
    </w:p>
    <w:p>
      <w:pPr>
        <w:spacing w:before="120" w:after="60"/>
        <w:pBdr>
          <w:bottom w:val="single" w:sz="6" w:space="1" w:color="E2E8F0"/>
        </w:pBdr>
      </w:pPr>
      <w:r>
        <w:rPr>
          <w:rFonts w:ascii="Aptos" w:hAnsi="Aptos"/>
          <w:b/>
          <w:color w:val="A37A2C"/>
          <w:sz w:val="18"/>
        </w:rPr>
        <w:t>CORE STRENGTHS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Platform governance uplift and control-model redesign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AWS cost control and commitment optimisation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Event-driven and container-based workload modernisation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Automation, CI/CD, and platform tooling improvement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Technical assessment, remediation planning, and handover</w:t>
      </w:r>
    </w:p>
    <w:p>
      <w:pPr>
        <w:spacing w:before="120" w:after="60"/>
        <w:pBdr>
          <w:bottom w:val="single" w:sz="6" w:space="1" w:color="E2E8F0"/>
        </w:pBdr>
      </w:pPr>
      <w:r>
        <w:rPr>
          <w:rFonts w:ascii="Aptos" w:hAnsi="Aptos"/>
          <w:b/>
          <w:color w:val="A37A2C"/>
          <w:sz w:val="18"/>
        </w:rPr>
        <w:t>TECHNOLOGY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162"/>
        <w:gridCol w:w="5162"/>
      </w:tblGrid>
      <w:tr>
        <w:tc>
          <w:tcPr>
            <w:tcW w:type="dxa" w:w="2232"/>
            <w:tcMar>
              <w:top w:w="50" w:type="dxa"/>
              <w:start w:w="60" w:type="dxa"/>
              <w:bottom w:w="50" w:type="dxa"/>
              <w:end w:w="80" w:type="dxa"/>
            </w:tcMar>
          </w:tcPr>
          <w:p>
            <w:r>
              <w:rPr>
                <w:rFonts w:ascii="Aptos" w:hAnsi="Aptos"/>
                <w:b/>
                <w:color w:val="0F172A"/>
                <w:sz w:val="18"/>
              </w:rPr>
              <w:t>Cloud</w:t>
            </w:r>
          </w:p>
        </w:tc>
        <w:tc>
          <w:tcPr>
            <w:tcW w:type="dxa" w:w="8208"/>
            <w:tcMar>
              <w:top w:w="50" w:type="dxa"/>
              <w:start w:w="80" w:type="dxa"/>
              <w:bottom w:w="50" w:type="dxa"/>
              <w:end w:w="60" w:type="dxa"/>
            </w:tcMar>
          </w:tcPr>
          <w:p>
            <w:r>
              <w:rPr>
                <w:rFonts w:ascii="Aptos" w:hAnsi="Aptos"/>
                <w:b w:val="0"/>
                <w:color w:val="334155"/>
                <w:sz w:val="18"/>
              </w:rPr>
              <w:t>AWS, AWS Organizations, Control Tower, IAM Identity Center / SSO</w:t>
            </w:r>
          </w:p>
        </w:tc>
      </w:tr>
      <w:tr>
        <w:tc>
          <w:tcPr>
            <w:tcW w:type="dxa" w:w="2232"/>
            <w:tcMar>
              <w:top w:w="50" w:type="dxa"/>
              <w:start w:w="60" w:type="dxa"/>
              <w:bottom w:w="50" w:type="dxa"/>
              <w:end w:w="80" w:type="dxa"/>
            </w:tcMar>
          </w:tcPr>
          <w:p>
            <w:r>
              <w:rPr>
                <w:rFonts w:ascii="Aptos" w:hAnsi="Aptos"/>
                <w:b/>
                <w:color w:val="0F172A"/>
                <w:sz w:val="18"/>
              </w:rPr>
              <w:t>Infrastructure as Code</w:t>
            </w:r>
          </w:p>
        </w:tc>
        <w:tc>
          <w:tcPr>
            <w:tcW w:type="dxa" w:w="8208"/>
            <w:tcMar>
              <w:top w:w="50" w:type="dxa"/>
              <w:start w:w="80" w:type="dxa"/>
              <w:bottom w:w="50" w:type="dxa"/>
              <w:end w:w="60" w:type="dxa"/>
            </w:tcMar>
          </w:tcPr>
          <w:p>
            <w:r>
              <w:rPr>
                <w:rFonts w:ascii="Aptos" w:hAnsi="Aptos"/>
                <w:b w:val="0"/>
                <w:color w:val="334155"/>
                <w:sz w:val="18"/>
              </w:rPr>
              <w:t>Terraform, AWS CDK, CloudFormation</w:t>
            </w:r>
          </w:p>
        </w:tc>
      </w:tr>
      <w:tr>
        <w:tc>
          <w:tcPr>
            <w:tcW w:type="dxa" w:w="2232"/>
            <w:tcMar>
              <w:top w:w="50" w:type="dxa"/>
              <w:start w:w="60" w:type="dxa"/>
              <w:bottom w:w="50" w:type="dxa"/>
              <w:end w:w="80" w:type="dxa"/>
            </w:tcMar>
          </w:tcPr>
          <w:p>
            <w:r>
              <w:rPr>
                <w:rFonts w:ascii="Aptos" w:hAnsi="Aptos"/>
                <w:b/>
                <w:color w:val="0F172A"/>
                <w:sz w:val="18"/>
              </w:rPr>
              <w:t>Containers and Compute</w:t>
            </w:r>
          </w:p>
        </w:tc>
        <w:tc>
          <w:tcPr>
            <w:tcW w:type="dxa" w:w="8208"/>
            <w:tcMar>
              <w:top w:w="50" w:type="dxa"/>
              <w:start w:w="80" w:type="dxa"/>
              <w:bottom w:w="50" w:type="dxa"/>
              <w:end w:w="60" w:type="dxa"/>
            </w:tcMar>
          </w:tcPr>
          <w:p>
            <w:r>
              <w:rPr>
                <w:rFonts w:ascii="Aptos" w:hAnsi="Aptos"/>
                <w:b w:val="0"/>
                <w:color w:val="334155"/>
                <w:sz w:val="18"/>
              </w:rPr>
              <w:t>ECS, Fargate, Lambda, Step Functions, EC2, SSM, Docker</w:t>
            </w:r>
          </w:p>
        </w:tc>
      </w:tr>
      <w:tr>
        <w:tc>
          <w:tcPr>
            <w:tcW w:type="dxa" w:w="2232"/>
            <w:tcMar>
              <w:top w:w="50" w:type="dxa"/>
              <w:start w:w="60" w:type="dxa"/>
              <w:bottom w:w="50" w:type="dxa"/>
              <w:end w:w="80" w:type="dxa"/>
            </w:tcMar>
          </w:tcPr>
          <w:p>
            <w:r>
              <w:rPr>
                <w:rFonts w:ascii="Aptos" w:hAnsi="Aptos"/>
                <w:b/>
                <w:color w:val="0F172A"/>
                <w:sz w:val="18"/>
              </w:rPr>
              <w:t>CI/CD and Automation</w:t>
            </w:r>
          </w:p>
        </w:tc>
        <w:tc>
          <w:tcPr>
            <w:tcW w:type="dxa" w:w="8208"/>
            <w:tcMar>
              <w:top w:w="50" w:type="dxa"/>
              <w:start w:w="80" w:type="dxa"/>
              <w:bottom w:w="50" w:type="dxa"/>
              <w:end w:w="60" w:type="dxa"/>
            </w:tcMar>
          </w:tcPr>
          <w:p>
            <w:r>
              <w:rPr>
                <w:rFonts w:ascii="Aptos" w:hAnsi="Aptos"/>
                <w:b w:val="0"/>
                <w:color w:val="334155"/>
                <w:sz w:val="18"/>
              </w:rPr>
              <w:t>GitLab CI, GitHub Actions, AWS CodePipeline, Python, Bash, JavaScript, TypeScript</w:t>
            </w:r>
          </w:p>
        </w:tc>
      </w:tr>
      <w:tr>
        <w:tc>
          <w:tcPr>
            <w:tcW w:type="dxa" w:w="2232"/>
            <w:tcMar>
              <w:top w:w="50" w:type="dxa"/>
              <w:start w:w="60" w:type="dxa"/>
              <w:bottom w:w="50" w:type="dxa"/>
              <w:end w:w="80" w:type="dxa"/>
            </w:tcMar>
          </w:tcPr>
          <w:p>
            <w:r>
              <w:rPr>
                <w:rFonts w:ascii="Aptos" w:hAnsi="Aptos"/>
                <w:b/>
                <w:color w:val="0F172A"/>
                <w:sz w:val="18"/>
              </w:rPr>
              <w:t>Security and Observability</w:t>
            </w:r>
          </w:p>
        </w:tc>
        <w:tc>
          <w:tcPr>
            <w:tcW w:type="dxa" w:w="8208"/>
            <w:tcMar>
              <w:top w:w="50" w:type="dxa"/>
              <w:start w:w="80" w:type="dxa"/>
              <w:bottom w:w="50" w:type="dxa"/>
              <w:end w:w="60" w:type="dxa"/>
            </w:tcMar>
          </w:tcPr>
          <w:p>
            <w:r>
              <w:rPr>
                <w:rFonts w:ascii="Aptos" w:hAnsi="Aptos"/>
                <w:b w:val="0"/>
                <w:color w:val="334155"/>
                <w:sz w:val="18"/>
              </w:rPr>
              <w:t>Security Hub, AWS Config, GuardDuty, Inspector, CloudWatch, Dynatrace, Sumo Logic, Cloudflare, AWS WAF, Vanta</w:t>
            </w:r>
          </w:p>
        </w:tc>
      </w:tr>
      <w:tr>
        <w:tc>
          <w:tcPr>
            <w:tcW w:type="dxa" w:w="2232"/>
            <w:tcMar>
              <w:top w:w="50" w:type="dxa"/>
              <w:start w:w="60" w:type="dxa"/>
              <w:bottom w:w="50" w:type="dxa"/>
              <w:end w:w="80" w:type="dxa"/>
            </w:tcMar>
          </w:tcPr>
          <w:p>
            <w:r>
              <w:rPr>
                <w:rFonts w:ascii="Aptos" w:hAnsi="Aptos"/>
                <w:b/>
                <w:color w:val="0F172A"/>
                <w:sz w:val="18"/>
              </w:rPr>
              <w:t>Platform Tooling</w:t>
            </w:r>
          </w:p>
        </w:tc>
        <w:tc>
          <w:tcPr>
            <w:tcW w:type="dxa" w:w="8208"/>
            <w:tcMar>
              <w:top w:w="50" w:type="dxa"/>
              <w:start w:w="80" w:type="dxa"/>
              <w:bottom w:w="50" w:type="dxa"/>
              <w:end w:w="60" w:type="dxa"/>
            </w:tcMar>
          </w:tcPr>
          <w:p>
            <w:r>
              <w:rPr>
                <w:rFonts w:ascii="Aptos" w:hAnsi="Aptos"/>
                <w:b w:val="0"/>
                <w:color w:val="334155"/>
                <w:sz w:val="18"/>
              </w:rPr>
              <w:t>Redis, OpenSearch, Nagios, ELK, Jenkins, Nexus, SVN</w:t>
            </w:r>
          </w:p>
        </w:tc>
      </w:tr>
    </w:tbl>
    <w:p/>
    <w:p>
      <w:pPr>
        <w:spacing w:before="120" w:after="60"/>
        <w:pBdr>
          <w:bottom w:val="single" w:sz="6" w:space="1" w:color="E2E8F0"/>
        </w:pBdr>
      </w:pPr>
      <w:r>
        <w:rPr>
          <w:rFonts w:ascii="Aptos" w:hAnsi="Aptos"/>
          <w:b/>
          <w:color w:val="A37A2C"/>
          <w:sz w:val="18"/>
        </w:rPr>
        <w:t>PROFESSIONAL EXPERIENCE</w:t>
      </w:r>
    </w:p>
    <w:p>
      <w:pPr>
        <w:spacing w:before="100" w:after="20"/>
      </w:pPr>
      <w:r>
        <w:rPr>
          <w:rFonts w:ascii="Aptos" w:hAnsi="Aptos"/>
          <w:b/>
          <w:color w:val="0F172A"/>
          <w:sz w:val="22"/>
        </w:rPr>
        <w:t>Squiz | Senior DevOps Engineer</w:t>
      </w:r>
    </w:p>
    <w:p>
      <w:pPr>
        <w:spacing w:after="40"/>
      </w:pPr>
      <w:r>
        <w:rPr>
          <w:rFonts w:ascii="Aptos" w:hAnsi="Aptos"/>
          <w:b w:val="0"/>
          <w:color w:val="64748B"/>
          <w:sz w:val="18"/>
        </w:rPr>
        <w:t>May 2024 – Present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Own the internal AWS platform across a complex multi-account environment supporting shared and client-facing workloads.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Lead platform work across governance, compliance, workload modernisation, and cross-team delivery planning.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Built biweekly reporting and alerting workflows that gave product owners a clearer remediation path and improved audit readiness.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Reworked governance controls and guardrails to improve consistency and compliance execution.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Moved heavy crawler workloads into event-driven ECS standalone tasks to improve isolation, scaling, and maintainability.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Reduced reliance on oversized always-on compute by modernising crawler, distributor, and gatherer workloads.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Designed an automated AMI lifecycle for ECS worker infrastructure to standardise rollout and reduce manual maintenance.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Managed commitment optimisation work that delivered material annual savings while maintaining strong utilisation.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Led the AWS side of migration from data centre to AWS, including documentation, training, and handover.</w:t>
      </w:r>
    </w:p>
    <w:p>
      <w:pPr>
        <w:spacing w:before="100" w:after="20"/>
      </w:pPr>
      <w:r>
        <w:rPr>
          <w:rFonts w:ascii="Aptos" w:hAnsi="Aptos"/>
          <w:b/>
          <w:color w:val="0F172A"/>
          <w:sz w:val="22"/>
        </w:rPr>
        <w:t>Versent | DevOps Engineer</w:t>
      </w:r>
    </w:p>
    <w:p>
      <w:pPr>
        <w:spacing w:after="40"/>
      </w:pPr>
      <w:r>
        <w:rPr>
          <w:rFonts w:ascii="Aptos" w:hAnsi="Aptos"/>
          <w:b w:val="0"/>
          <w:color w:val="64748B"/>
          <w:sz w:val="18"/>
        </w:rPr>
        <w:t>Mar 2021 – Apr 2024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Delivered cloud platform, automation, and reliability improvements across enterprise client environments.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Built reusable deployment tooling and automation modules that reduced manual effort across reporting, updates, alarms, and routine operations.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Contributed to a containerised DevOps toolbox that let engineers work safely across multiple client estates.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Built an API canary capability to monitor private HTTPS endpoints inside a VPC and surface failures earlier.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Designed and implemented a serverless anti-virus solution using Trend Cloud One for a state-level registry and land services provider.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Led migration from legacy email infrastructure to AWS SES with stronger security, sender reputation monitoring, and cleaner operations.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Reduced website dropouts for Australian Museum from roughly 20 per day to zero through targeted performance and architecture changes.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Tuned OpenSearch and Redis workloads to improve responsiveness, maintainability, and operational support.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Built CI/CD pipelines using GitHub Actions and ECS runners with OIDC-based short-lived AWS access.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Delivered client training, handover documentation, and transition support so new systems could be operated cleanly after delivery.</w:t>
      </w:r>
    </w:p>
    <w:p>
      <w:pPr>
        <w:spacing w:before="100" w:after="20"/>
      </w:pPr>
      <w:r>
        <w:rPr>
          <w:rFonts w:ascii="Aptos" w:hAnsi="Aptos"/>
          <w:b/>
          <w:color w:val="0F172A"/>
          <w:sz w:val="22"/>
        </w:rPr>
        <w:t>AXE Group | Junior DevSecOps Engineer</w:t>
      </w:r>
    </w:p>
    <w:p>
      <w:pPr>
        <w:spacing w:after="40"/>
      </w:pPr>
      <w:r>
        <w:rPr>
          <w:rFonts w:ascii="Aptos" w:hAnsi="Aptos"/>
          <w:b w:val="0"/>
          <w:color w:val="64748B"/>
          <w:sz w:val="18"/>
        </w:rPr>
        <w:t>Jan 2020 – Feb 2021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Automated application deployments, Linux configuration, and security-related operational tasks.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Maintained Ansible playbooks and deployment workflows for Linux-based platforms.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Built Shell, Bash, and PowerShell tooling for environment management and deployment support.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Improved monitoring through development and maintenance of Nagios plugins.</w:t>
      </w:r>
    </w:p>
    <w:p>
      <w:pPr>
        <w:spacing w:before="100" w:after="20"/>
      </w:pPr>
      <w:r>
        <w:rPr>
          <w:rFonts w:ascii="Aptos" w:hAnsi="Aptos"/>
          <w:b/>
          <w:color w:val="0F172A"/>
          <w:sz w:val="22"/>
        </w:rPr>
        <w:t>OpenMRS | Junior DevOps Engineer</w:t>
      </w:r>
    </w:p>
    <w:p>
      <w:pPr>
        <w:spacing w:after="40"/>
      </w:pPr>
      <w:r>
        <w:rPr>
          <w:rFonts w:ascii="Aptos" w:hAnsi="Aptos"/>
          <w:b w:val="0"/>
          <w:color w:val="64748B"/>
          <w:sz w:val="18"/>
        </w:rPr>
        <w:t>Apr 2019 – Feb 2020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Supported infrastructure and platform operations for the OpenMRS open-source community.</w:t>
      </w:r>
    </w:p>
    <w:p>
      <w:pPr>
        <w:spacing w:before="120" w:after="60"/>
        <w:pBdr>
          <w:bottom w:val="single" w:sz="6" w:space="1" w:color="E2E8F0"/>
        </w:pBdr>
      </w:pPr>
      <w:r>
        <w:rPr>
          <w:rFonts w:ascii="Aptos" w:hAnsi="Aptos"/>
          <w:b/>
          <w:color w:val="A37A2C"/>
          <w:sz w:val="18"/>
        </w:rPr>
        <w:t>CONTRACTING POSITIONING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Strong fit for platform governance uplift, modernisation, automation improvement, and cost reduction work.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Most credible in AWS-heavy environments that need practical delivery rather than theory-only architecture.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Less suited to contracts where deep Kubernetes specialism is the main value proposition.</w:t>
      </w:r>
    </w:p>
    <w:p>
      <w:pPr>
        <w:spacing w:before="120" w:after="60"/>
        <w:pBdr>
          <w:bottom w:val="single" w:sz="6" w:space="1" w:color="E2E8F0"/>
        </w:pBdr>
      </w:pPr>
      <w:r>
        <w:rPr>
          <w:rFonts w:ascii="Aptos" w:hAnsi="Aptos"/>
          <w:b/>
          <w:color w:val="A37A2C"/>
          <w:sz w:val="18"/>
        </w:rPr>
        <w:t>EDUCATION</w:t>
      </w:r>
    </w:p>
    <w:p>
      <w:pPr>
        <w:spacing w:after="40" w:line="276" w:lineRule="auto"/>
      </w:pPr>
      <w:r>
        <w:rPr>
          <w:rFonts w:ascii="Aptos" w:hAnsi="Aptos"/>
          <w:b w:val="0"/>
          <w:color w:val="334155"/>
          <w:sz w:val="20"/>
        </w:rPr>
        <w:t>Bachelor’s Degree in Architecture, Damascus University | 2009 – 2014</w:t>
      </w:r>
    </w:p>
    <w:sectPr w:rsidR="00FC693F" w:rsidRPr="0006063C" w:rsidSect="00034616">
      <w:pgSz w:w="11909" w:h="16834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